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93756"/>
          <w:sz w:val="30"/>
        </w:rPr>
        <w:t>CONFIDENTIALITY AGREEMENT</w:t>
      </w:r>
    </w:p>
    <w:p>
      <w:r>
        <w:t>This Confidentiality Agreement (“Agreement”) is entered into by ORL, LLC, a Florida limited liability company (“Owner”), acting through its exclusive listing broker, Smith Equities Corporation (“Smith Equities”; Owner and Smith Equities together, “Discloser”), and the party accepting this Agreement (“Recipient”) in connection with the Purpose below. The “Property” is the approximately 5.52-acre parcel on Lake Bryan south of the Blue Heron Beach Resort, S. Apopka Vineland Road (SR 535), Orange County, Florida, Tax Parcel 27-24-28-4336-00-050, as presented in the applicable CREXI listing and related offering materials. Smith Equities acts as transaction broker to Owner under Section 475.278, Florida Statutes.</w:t>
      </w:r>
    </w:p>
    <w:p>
      <w:pPr>
        <w:pStyle w:val="SectionLabel"/>
      </w:pPr>
      <w:r>
        <w:t>RECITALS</w:t>
      </w:r>
    </w:p>
    <w:p>
      <w:r>
        <w:t>The parties wish to evaluate a possible purchase, investment, assemblage, development, or other transaction concerning the Property (the “Purpose”). Information may be made available through the platform operated by Commercial Real Estate Exchange, Inc. (“Crexi”) or directly by Discloser or its authorized broker. This Agreement permits the parties to evaluate the Purpose while protecting Confidential Information.</w:t>
      </w:r>
    </w:p>
    <w:p>
      <w:pPr>
        <w:pStyle w:val="SectionLabel"/>
      </w:pPr>
      <w:r>
        <w:t>Marketing Process Disclosure</w:t>
      </w:r>
    </w:p>
    <w:p>
      <w:r>
        <w:t>Recipient acknowledges that the Property may be marketed without a fixed asking price or on other terms stated in the current offering materials. Any offer deadline, pricing guidance, or preemptive-offer threshold is governed solely by the then-current written offering instructions, if any, and may change. Discloser reserves the right, in its sole discretion, to review, negotiate, accept, or reject any offer at any time, to modify the offering process, or to withdraw the Property. Nothing obligates Discloser to accept an offer or complete a transaction.</w:t>
      </w:r>
    </w:p>
    <w:p>
      <w:pPr>
        <w:pStyle w:val="SectionLabel"/>
      </w:pPr>
      <w:r>
        <w:t>AGREEMENT</w:t>
      </w:r>
    </w:p>
    <w:p>
      <w:pPr>
        <w:pStyle w:val="SectionLabel"/>
      </w:pPr>
      <w:r>
        <w:t>1. Confidential Information</w:t>
      </w:r>
    </w:p>
    <w:p>
      <w:r>
        <w:t>“Confidential Information” means nonpublic information disclosed by Discloser or its representatives in connection with the Purpose, whether written, oral, electronic, visual, or made available in a due diligence room. It includes, without limitation, ownership and transaction information, surveys, title materials, development plans, feasibility studies, zoning analyses, environmental reports, appraisals, valuation reports, broker opinions of value, pricing, financial analyses, agreements, correspondence, and other nonpublic Property materials, including materials marked for restricted or “Tier 2” access. Confidential Information also includes the nonpublic existence and substance of discussions concerning the Property.</w:t>
      </w:r>
    </w:p>
    <w:p>
      <w:pPr>
        <w:pStyle w:val="SectionLabel"/>
      </w:pPr>
      <w:r>
        <w:t>2. Permitted Use and Nondisclosure</w:t>
      </w:r>
    </w:p>
    <w:p>
      <w:r>
        <w:t>Recipient may use Confidential Information solely to evaluate the Purpose. Recipient may disclose it only to its officers, employees, prospective financing sources, investors, attorneys, accountants, consultants, and licensed brokers who reasonably need to know it for that evaluation and are informed of its confidential nature and bound by professional, contractual, or other duties of confidentiality at least as protective as these restrictions. Recipient is responsible for breaches by persons to whom it discloses the information and will use reasonable care to safeguard it.</w:t>
      </w:r>
    </w:p>
    <w:p>
      <w:pPr>
        <w:pStyle w:val="SectionLabel"/>
      </w:pPr>
      <w:r>
        <w:t>3. No Unauthorized Contact with Owner, Blue Heron or Adjoining Owners</w:t>
      </w:r>
    </w:p>
    <w:p>
      <w:r>
        <w:t>In connection with the Property or the Purpose, Recipient and its representatives shall not directly or indirectly contact, solicit information from, or initiate discussions with (i) Owner or its members, managers, employees, lenders, attorneys or representatives; (ii) the Blue Heron Beach Resort, including Blue Heron Beach Resort Developer, LLC, the Tower I and Tower II condominium associations, their boards, management, staff, unit owners and guests (together, “Blue Heron”); or (iii) the owners of the parcels adjoining the Property, including the Lake Bryan shopping center, the mini-golf parcel and the MB Resort parcel, without prior written consent from Smith Equities. Requests for site access, documents, or transaction discussions shall be directed through Smith Equities. This restriction does not prohibit contacts demonstrably existing independently of this offering and unrelated to the Property or Purpose, or communications required by law. Written permission may be conditioned or limited as appropriate. Unauthorized Property-related contact is a breach of this Agreement.</w:t>
      </w:r>
    </w:p>
    <w:p>
      <w:pPr>
        <w:pStyle w:val="SectionLabel"/>
      </w:pPr>
      <w:r>
        <w:t>4. Exceptions</w:t>
      </w:r>
    </w:p>
    <w:p>
      <w:r>
        <w:t>Confidential Information excludes information Recipient can demonstrate: (a) becomes publicly available without Recipient’s breach; (b) was lawfully known to Recipient without duty of confidentiality before disclosure; (c) was independently developed without use of Confidential Information; or (d) was lawfully received from a third party without confidentiality duty. Disclosures required by law, court order, or regulation are permitted to the extent required, provided Recipient gives reasonably prompt notice when legally allowed and cooperates with appropriate protective measures.</w:t>
      </w:r>
    </w:p>
    <w:p>
      <w:pPr>
        <w:pStyle w:val="SectionLabel"/>
      </w:pPr>
      <w:r>
        <w:t>5. Return or Destruction</w:t>
      </w:r>
    </w:p>
    <w:p>
      <w:r>
        <w:t>Upon written request from Discloser, Recipient shall promptly return or destroy Confidential Information in its possession, except one archival copy retained by counsel for compliance purposes and routine inaccessible backup copies, in each case remaining subject to this Agreement.</w:t>
      </w:r>
    </w:p>
    <w:p>
      <w:pPr>
        <w:pStyle w:val="SectionLabel"/>
      </w:pPr>
      <w:r>
        <w:t>6. No Rights; No Representations</w:t>
      </w:r>
    </w:p>
    <w:p>
      <w:r>
        <w:t>No license, property right, right of access, exclusivity, or other transaction right is granted by disclosure. Materials are supplied for evaluation only, without representation or warranty as to accuracy or completeness. Recipient must conduct independent diligence and may rely only on express representations, if any, in a fully executed definitive transaction agreement.</w:t>
      </w:r>
    </w:p>
    <w:p>
      <w:pPr>
        <w:pStyle w:val="SectionLabel"/>
      </w:pPr>
      <w:r>
        <w:t>7. No Publicity</w:t>
      </w:r>
    </w:p>
    <w:p>
      <w:r>
        <w:t>Recipient shall not publicly announce the Property offering, negotiations, proposed terms, or Discloser’s participation without Discloser’s prior written consent, except where disclosure is required by law.</w:t>
      </w:r>
    </w:p>
    <w:p>
      <w:pPr>
        <w:pStyle w:val="SectionLabel"/>
      </w:pPr>
      <w:r>
        <w:t>8. Remedies</w:t>
      </w:r>
    </w:p>
    <w:p>
      <w:r>
        <w:t>Recipient acknowledges that an unauthorized disclosure or contact may cause harm for which monetary damages may be inadequate. Discloser may seek injunctive relief and any other remedies available at law or equity, subject to applicable law.</w:t>
      </w:r>
    </w:p>
    <w:p>
      <w:pPr>
        <w:pStyle w:val="SectionLabel"/>
      </w:pPr>
      <w:r>
        <w:t>9. Term</w:t>
      </w:r>
    </w:p>
    <w:p>
      <w:r>
        <w:t>The confidentiality, permitted-use, and no-contact obligations survive for three (3) years after the last disclosure of Confidential Information under this Agreement. Protection of information qualifying as a trade secret continues for so long as applicable law protects it as such.</w:t>
      </w:r>
    </w:p>
    <w:p>
      <w:pPr>
        <w:pStyle w:val="SectionLabel"/>
      </w:pPr>
      <w:r>
        <w:t>10. Miscellaneous</w:t>
      </w:r>
    </w:p>
    <w:p>
      <w:r>
        <w:t>(a) Governing Law; Venue; Fees. This Agreement is governed by the laws of the State of Florida, without regard to its conflicts-of-law rules. Venue for any action arising under this Agreement lies exclusively in the state courts located in Orange County, Florida. In any such action the prevailing party shall recover its reasonable attorneys’ fees and costs.</w:t>
      </w:r>
    </w:p>
    <w:p>
      <w:r>
        <w:t>(b) Entire Agreement; Amendments. This Agreement is the entire understanding on confidentiality and authorized contact concerning the Purpose and may be amended only by a writing agreed to by the parties.</w:t>
      </w:r>
    </w:p>
    <w:p>
      <w:r>
        <w:t>(c) Successors. This Agreement binds the parties and their permitted successors and assigns.</w:t>
      </w:r>
    </w:p>
    <w:p>
      <w:r>
        <w:t>(d) Crexi. To the extent required for acceptance through the Crexi Platform, Crexi is an express third-party beneficiary solely with respect to enforcement of the provisions applicable to its platform; Crexi does not become a seller, broker, or party obligated to complete a transaction.</w:t>
      </w:r>
    </w:p>
    <w:p>
      <w:r>
        <w:t>(e) Electronic Acceptance. Recipient may execute this Agreement by electronic acceptance through the Crexi Platform, including clicking “ACCEPT,” “I AGREE,” or equivalent affirmative assent. Such assent is intended as an electronic signature legally equivalent to a handwritten signature to the extent permitted by applicable law. Counterpart signatures are permitted.</w:t>
      </w:r>
    </w:p>
    <w:p>
      <w:r>
        <w:t>(f) Buyer Broker Compensation. No buyer-broker compensation is offered or earned by this Agreement. Any fee payable to a licensed buyer broker must be established exclusively in a separate written agreement with the party responsible for payment and is contingent upon satisfaction of that agreement’s terms, including an accepted transaction that successfully closes, if so stated. If applicable, payment from Seller’s closing proceeds will be made through the settlement agent in accordance with that separate agreement and the final settlement statement. A broker’s identification in an offer does not itself create a commission obligation.</w:t>
      </w:r>
    </w:p>
    <w:p>
      <w:r>
        <w:t>(g) Notices and Consents. Written consent under Section 3 may be provided by Discloser or Smith Equities through the contact information identified in the current offering materials. No consent is implied by the availability of public information or the transmission of this Agreement.</w:t>
      </w:r>
    </w:p>
    <w:p>
      <w:r>
        <w:t xml:space="preserve">(h) Recipient’s Principal. Recipient represents that it is evaluating the Property for its own account or for the principal identified below, and will not share Confidential Information with any other prospective purchaser.</w:t>
      </w:r>
    </w:p>
    <w:p>
      <w:r>
        <w:t xml:space="preserve">(i) Direct Acceptance. Where this Agreement is delivered by Smith Equities outside the Crexi Platform, Recipient accepts it by completing and returning the block below, by email or electronic signature.</w:t>
      </w:r>
    </w:p>
    <w:p>
      <w:r>
        <w:t xml:space="preserve"/>
      </w:r>
    </w:p>
    <w:p>
      <w:r>
        <w:t xml:space="preserve">RECIPIENT: ____________________________________   (company / principal)</w:t>
      </w:r>
    </w:p>
    <w:p>
      <w:r>
        <w:t xml:space="preserve">By: ____________________________________   Name: ______________________   Title: ______________________</w:t>
      </w:r>
    </w:p>
    <w:p>
      <w:r>
        <w:t xml:space="preserve">Email: ____________________________________   Phone: ______________________   Date: ______________</w:t>
      </w:r>
    </w:p>
    <w:p>
      <w:r>
        <w:t xml:space="preserve">Buyer’s broker (if any): ____________________________________   License No.: ______________</w:t>
      </w:r>
    </w:p>
    <w:p>
      <w:pPr>
        <w:jc w:val="center"/>
      </w:pPr>
      <w:r>
        <w:t>END OF AGREEMENT</w:t>
      </w:r>
    </w:p>
    <w:sectPr w:rsidR="00FC693F" w:rsidRPr="0006063C" w:rsidSect="00034616">
      <w:footerReference w:type="default" r:id="rId9"/>
      <w:pgSz w:w="12240" w:h="15840"/>
      <w:pgMar w:top="1037" w:right="1181" w:bottom="979"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767E"/>
        <w:sz w:val="16"/>
      </w:rPr>
      <w:t>CONFIDENTIAL  •  CREXI OFFERING NDA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Label">
    <w:name w:val="Section Label"/>
    <w:basedOn w:val="Normal"/>
    <w:pPr>
      <w:spacing w:before="180" w:after="60"/>
    </w:pPr>
    <w:rPr>
      <w:b/>
      <w:color w:val="193756"/>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